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C22A29" w:rsidRPr="00C22A29" w:rsidTr="00C22A29">
        <w:trPr>
          <w:tblCellSpacing w:w="0" w:type="dxa"/>
          <w:jc w:val="center"/>
        </w:trPr>
        <w:tc>
          <w:tcPr>
            <w:tcW w:w="0" w:type="auto"/>
            <w:vAlign w:val="center"/>
            <w:hideMark/>
          </w:tcPr>
          <w:p w:rsidR="00C22A29" w:rsidRPr="00C22A29" w:rsidRDefault="00C22A29" w:rsidP="00C22A29">
            <w:pPr>
              <w:widowControl/>
              <w:jc w:val="center"/>
              <w:rPr>
                <w:rFonts w:ascii="宋体" w:eastAsia="宋体" w:hAnsi="宋体" w:cs="宋体"/>
                <w:kern w:val="0"/>
                <w:sz w:val="24"/>
                <w:szCs w:val="24"/>
              </w:rPr>
            </w:pPr>
            <w:r w:rsidRPr="00C22A29">
              <w:rPr>
                <w:rFonts w:ascii="宋体" w:eastAsia="宋体" w:hAnsi="宋体" w:cs="宋体"/>
                <w:kern w:val="0"/>
                <w:sz w:val="24"/>
                <w:szCs w:val="24"/>
              </w:rPr>
              <w:t>2016年国家公派硕士研究生项目选派办法</w:t>
            </w:r>
          </w:p>
        </w:tc>
      </w:tr>
    </w:tbl>
    <w:p w:rsidR="00C22A29" w:rsidRPr="00C22A29" w:rsidRDefault="00C22A29" w:rsidP="00C22A29">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C22A29" w:rsidRPr="00C22A29" w:rsidTr="00C22A29">
        <w:trPr>
          <w:trHeight w:val="15"/>
          <w:tblCellSpacing w:w="0" w:type="dxa"/>
          <w:jc w:val="center"/>
        </w:trPr>
        <w:tc>
          <w:tcPr>
            <w:tcW w:w="0" w:type="auto"/>
            <w:shd w:val="clear" w:color="auto" w:fill="F2F2F4"/>
            <w:vAlign w:val="center"/>
            <w:hideMark/>
          </w:tcPr>
          <w:p w:rsidR="00C22A29" w:rsidRPr="00C22A29" w:rsidRDefault="00C22A29" w:rsidP="00C22A29">
            <w:pPr>
              <w:widowControl/>
              <w:jc w:val="left"/>
              <w:rPr>
                <w:rFonts w:ascii="宋体" w:eastAsia="宋体" w:hAnsi="宋体" w:cs="宋体"/>
                <w:kern w:val="0"/>
                <w:sz w:val="2"/>
                <w:szCs w:val="24"/>
              </w:rPr>
            </w:pPr>
          </w:p>
        </w:tc>
      </w:tr>
      <w:tr w:rsidR="00C22A29" w:rsidRPr="00C22A29" w:rsidTr="00C22A29">
        <w:trPr>
          <w:trHeight w:val="15"/>
          <w:tblCellSpacing w:w="0" w:type="dxa"/>
          <w:jc w:val="center"/>
        </w:trPr>
        <w:tc>
          <w:tcPr>
            <w:tcW w:w="0" w:type="auto"/>
            <w:shd w:val="clear" w:color="auto" w:fill="FFFFFF"/>
            <w:vAlign w:val="center"/>
            <w:hideMark/>
          </w:tcPr>
          <w:p w:rsidR="00C22A29" w:rsidRPr="00C22A29" w:rsidRDefault="00C22A29" w:rsidP="00C22A29">
            <w:pPr>
              <w:widowControl/>
              <w:jc w:val="left"/>
              <w:rPr>
                <w:rFonts w:ascii="宋体" w:eastAsia="宋体" w:hAnsi="宋体" w:cs="宋体"/>
                <w:kern w:val="0"/>
                <w:sz w:val="2"/>
                <w:szCs w:val="24"/>
              </w:rPr>
            </w:pPr>
          </w:p>
        </w:tc>
      </w:tr>
      <w:tr w:rsidR="00C22A29" w:rsidRPr="00C22A29" w:rsidTr="00C22A29">
        <w:trPr>
          <w:tblCellSpacing w:w="0" w:type="dxa"/>
          <w:jc w:val="center"/>
        </w:trPr>
        <w:tc>
          <w:tcPr>
            <w:tcW w:w="0" w:type="auto"/>
            <w:shd w:val="clear" w:color="auto" w:fill="F2F2F4"/>
            <w:vAlign w:val="center"/>
            <w:hideMark/>
          </w:tcPr>
          <w:p w:rsidR="00C22A29" w:rsidRPr="00C22A29" w:rsidRDefault="00C22A29" w:rsidP="00C22A29">
            <w:pPr>
              <w:widowControl/>
              <w:jc w:val="center"/>
              <w:rPr>
                <w:rFonts w:ascii="宋体" w:eastAsia="宋体" w:hAnsi="宋体" w:cs="宋体"/>
                <w:kern w:val="0"/>
                <w:sz w:val="24"/>
                <w:szCs w:val="24"/>
              </w:rPr>
            </w:pPr>
            <w:r w:rsidRPr="00C22A29">
              <w:rPr>
                <w:rFonts w:ascii="宋体" w:eastAsia="宋体" w:hAnsi="宋体" w:cs="宋体"/>
                <w:kern w:val="0"/>
                <w:sz w:val="24"/>
                <w:szCs w:val="24"/>
              </w:rPr>
              <w:t>发布日期：2015-12-10　信息来源：　人气：579</w:t>
            </w:r>
          </w:p>
        </w:tc>
      </w:tr>
      <w:tr w:rsidR="00C22A29" w:rsidRPr="00C22A29" w:rsidTr="00C22A29">
        <w:trPr>
          <w:trHeight w:val="15"/>
          <w:tblCellSpacing w:w="0" w:type="dxa"/>
          <w:jc w:val="center"/>
        </w:trPr>
        <w:tc>
          <w:tcPr>
            <w:tcW w:w="0" w:type="auto"/>
            <w:shd w:val="clear" w:color="auto" w:fill="FFFFFF"/>
            <w:vAlign w:val="center"/>
            <w:hideMark/>
          </w:tcPr>
          <w:p w:rsidR="00C22A29" w:rsidRPr="00C22A29" w:rsidRDefault="00C22A29" w:rsidP="00C22A29">
            <w:pPr>
              <w:widowControl/>
              <w:jc w:val="left"/>
              <w:rPr>
                <w:rFonts w:ascii="宋体" w:eastAsia="宋体" w:hAnsi="宋体" w:cs="宋体"/>
                <w:kern w:val="0"/>
                <w:sz w:val="2"/>
                <w:szCs w:val="24"/>
              </w:rPr>
            </w:pPr>
          </w:p>
        </w:tc>
      </w:tr>
      <w:tr w:rsidR="00C22A29" w:rsidRPr="00C22A29" w:rsidTr="00C22A29">
        <w:trPr>
          <w:trHeight w:val="30"/>
          <w:tblCellSpacing w:w="0" w:type="dxa"/>
          <w:jc w:val="center"/>
        </w:trPr>
        <w:tc>
          <w:tcPr>
            <w:tcW w:w="0" w:type="auto"/>
            <w:shd w:val="clear" w:color="auto" w:fill="F2F2F4"/>
            <w:vAlign w:val="center"/>
            <w:hideMark/>
          </w:tcPr>
          <w:p w:rsidR="00C22A29" w:rsidRPr="00C22A29" w:rsidRDefault="00C22A29" w:rsidP="00C22A29">
            <w:pPr>
              <w:widowControl/>
              <w:jc w:val="left"/>
              <w:rPr>
                <w:rFonts w:ascii="宋体" w:eastAsia="宋体" w:hAnsi="宋体" w:cs="宋体"/>
                <w:kern w:val="0"/>
                <w:sz w:val="4"/>
                <w:szCs w:val="24"/>
              </w:rPr>
            </w:pPr>
          </w:p>
        </w:tc>
      </w:tr>
    </w:tbl>
    <w:p w:rsidR="00C22A29" w:rsidRPr="00C22A29" w:rsidRDefault="00C22A29" w:rsidP="00C22A29">
      <w:pPr>
        <w:widowControl/>
        <w:jc w:val="left"/>
        <w:rPr>
          <w:rFonts w:ascii="宋体" w:eastAsia="宋体" w:hAnsi="宋体" w:cs="宋体"/>
          <w:vanish/>
          <w:kern w:val="0"/>
          <w:sz w:val="24"/>
          <w:szCs w:val="24"/>
        </w:rPr>
      </w:pPr>
    </w:p>
    <w:tbl>
      <w:tblPr>
        <w:tblW w:w="4750" w:type="pct"/>
        <w:tblCellSpacing w:w="0" w:type="dxa"/>
        <w:tblCellMar>
          <w:left w:w="0" w:type="dxa"/>
          <w:right w:w="0" w:type="dxa"/>
        </w:tblCellMar>
        <w:tblLook w:val="04A0" w:firstRow="1" w:lastRow="0" w:firstColumn="1" w:lastColumn="0" w:noHBand="0" w:noVBand="1"/>
      </w:tblPr>
      <w:tblGrid>
        <w:gridCol w:w="7891"/>
      </w:tblGrid>
      <w:tr w:rsidR="00C22A29" w:rsidRPr="00C22A29" w:rsidTr="00C22A29">
        <w:trPr>
          <w:tblCellSpacing w:w="0" w:type="dxa"/>
        </w:trPr>
        <w:tc>
          <w:tcPr>
            <w:tcW w:w="0" w:type="auto"/>
            <w:vAlign w:val="center"/>
            <w:hideMark/>
          </w:tcPr>
          <w:p w:rsidR="00C22A29" w:rsidRPr="00C22A29" w:rsidRDefault="00C22A29" w:rsidP="00C22A29">
            <w:pPr>
              <w:widowControl/>
              <w:jc w:val="left"/>
              <w:rPr>
                <w:rFonts w:ascii="宋体" w:eastAsia="宋体" w:hAnsi="宋体" w:cs="宋体"/>
                <w:kern w:val="0"/>
                <w:sz w:val="24"/>
                <w:szCs w:val="24"/>
              </w:rPr>
            </w:pPr>
            <w:r w:rsidRPr="00C22A29">
              <w:rPr>
                <w:rFonts w:ascii="宋体" w:eastAsia="宋体" w:hAnsi="宋体" w:cs="宋体"/>
                <w:kern w:val="0"/>
                <w:sz w:val="24"/>
                <w:szCs w:val="24"/>
              </w:rPr>
              <w:t> </w:t>
            </w:r>
          </w:p>
        </w:tc>
      </w:tr>
    </w:tbl>
    <w:p w:rsidR="00C22A29" w:rsidRPr="00C22A29" w:rsidRDefault="00C22A29" w:rsidP="00C22A29">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C22A29" w:rsidRPr="00C22A29" w:rsidTr="00C22A29">
        <w:trPr>
          <w:tblCellSpacing w:w="0" w:type="dxa"/>
          <w:jc w:val="center"/>
        </w:trPr>
        <w:tc>
          <w:tcPr>
            <w:tcW w:w="0" w:type="auto"/>
            <w:hideMark/>
          </w:tcPr>
          <w:p w:rsidR="00C22A29" w:rsidRPr="00C22A29" w:rsidRDefault="00C22A29" w:rsidP="00C22A29">
            <w:pPr>
              <w:widowControl/>
              <w:jc w:val="left"/>
              <w:rPr>
                <w:rFonts w:ascii="宋体" w:eastAsia="宋体" w:hAnsi="宋体" w:cs="宋体"/>
                <w:kern w:val="0"/>
                <w:sz w:val="24"/>
                <w:szCs w:val="24"/>
              </w:rPr>
            </w:pPr>
            <w:r w:rsidRPr="00C22A29">
              <w:rPr>
                <w:rFonts w:ascii="宋体" w:eastAsia="宋体" w:hAnsi="宋体" w:cs="宋体"/>
                <w:kern w:val="0"/>
                <w:sz w:val="24"/>
                <w:szCs w:val="24"/>
              </w:rPr>
              <w:t xml:space="preserve">  </w:t>
            </w:r>
          </w:p>
          <w:p w:rsidR="00C22A29" w:rsidRPr="00C22A29" w:rsidRDefault="00C22A29" w:rsidP="00C22A29">
            <w:pPr>
              <w:widowControl/>
              <w:spacing w:before="100" w:beforeAutospacing="1" w:after="100" w:afterAutospacing="1"/>
              <w:jc w:val="center"/>
              <w:rPr>
                <w:rFonts w:ascii="宋体" w:eastAsia="宋体" w:hAnsi="宋体" w:cs="宋体"/>
                <w:kern w:val="0"/>
                <w:sz w:val="24"/>
                <w:szCs w:val="24"/>
              </w:rPr>
            </w:pPr>
            <w:r w:rsidRPr="00C22A29">
              <w:rPr>
                <w:rFonts w:ascii="宋体" w:eastAsia="宋体" w:hAnsi="宋体" w:cs="宋体"/>
                <w:b/>
                <w:bCs/>
                <w:kern w:val="0"/>
                <w:sz w:val="24"/>
                <w:szCs w:val="24"/>
              </w:rPr>
              <w:t>第一章  总则</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第一条  为服务国家经济社会发展和人才强国战略，培养一批国家急需的具有国际视野、通晓国际规则，能够参与国际事务和竞争的高层次应用型专门人才，设立并实施国家公派硕士研究生项目。</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第二条  国家留学基金管理委员会（以下简称国家留学基金委）负责本项目的组织实施工作。</w:t>
            </w:r>
          </w:p>
          <w:p w:rsidR="00C22A29" w:rsidRPr="00C22A29" w:rsidRDefault="00C22A29" w:rsidP="00C22A29">
            <w:pPr>
              <w:widowControl/>
              <w:spacing w:before="100" w:beforeAutospacing="1" w:after="100" w:afterAutospacing="1"/>
              <w:jc w:val="center"/>
              <w:rPr>
                <w:rFonts w:ascii="宋体" w:eastAsia="宋体" w:hAnsi="宋体" w:cs="宋体"/>
                <w:kern w:val="0"/>
                <w:sz w:val="24"/>
                <w:szCs w:val="24"/>
              </w:rPr>
            </w:pPr>
            <w:r w:rsidRPr="00C22A29">
              <w:rPr>
                <w:rFonts w:ascii="宋体" w:eastAsia="宋体" w:hAnsi="宋体" w:cs="宋体"/>
                <w:b/>
                <w:bCs/>
                <w:kern w:val="0"/>
                <w:sz w:val="24"/>
                <w:szCs w:val="24"/>
              </w:rPr>
              <w:t>第二章  选派计划</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第三条  2016年计划选派800名硕士研究生出国留学。选派类别包括攻读硕士学位研究生和联合培养硕士研究生。</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第四条  重点面向行政机关、事业单位、高等职业院校在职人员选拔攻读硕士学位研究生。选派专业领域由推选单位根据人才培养实际需要确定。</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面向高等学校应届本科毕业生选拔攻读硕士学位研究生，面向高等学校在读硕士生选拔联合培养硕士研究生。选派学科专业领域为农业、公共管理、经济管理、社会工作、国际金融、国际法、工业设计、航空安全保障、先进制造工程和网络工程等。</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第五条  攻读硕士学位研究生的留学期限一般为12-24个月，具体以拟留学院校或单位学制为准。联合培养硕士研究生的留学期限为3-12个月。</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第六条  留学人员派往教育、科技发达国家的知名院校、科研院所、实验室等机构。</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第七条  攻读硕士学位研究生可通过国内推选单位或个人联系国外留学单位派出，也可利用国家留学基金委与国外教育、科研机构合作奖学金派出。</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联合培养硕士研究生需通过国内学校与外方学校的校际合作项目派出。</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第八条  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对攻读硕士学位研究生，可提供学费资助。</w:t>
            </w:r>
          </w:p>
          <w:p w:rsidR="00C22A29" w:rsidRPr="00C22A29" w:rsidRDefault="00C22A29" w:rsidP="00C22A29">
            <w:pPr>
              <w:widowControl/>
              <w:spacing w:before="100" w:beforeAutospacing="1" w:after="100" w:afterAutospacing="1"/>
              <w:jc w:val="center"/>
              <w:rPr>
                <w:rFonts w:ascii="宋体" w:eastAsia="宋体" w:hAnsi="宋体" w:cs="宋体"/>
                <w:kern w:val="0"/>
                <w:sz w:val="24"/>
                <w:szCs w:val="24"/>
              </w:rPr>
            </w:pPr>
            <w:r w:rsidRPr="00C22A29">
              <w:rPr>
                <w:rFonts w:ascii="宋体" w:eastAsia="宋体" w:hAnsi="宋体" w:cs="宋体"/>
                <w:b/>
                <w:bCs/>
                <w:kern w:val="0"/>
                <w:sz w:val="24"/>
                <w:szCs w:val="24"/>
              </w:rPr>
              <w:lastRenderedPageBreak/>
              <w:t>第三章  申请条件</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第九条  符合《</w:t>
            </w:r>
            <w:hyperlink r:id="rId5" w:history="1">
              <w:r w:rsidRPr="00C22A29">
                <w:rPr>
                  <w:rFonts w:ascii="宋体" w:eastAsia="宋体" w:hAnsi="宋体" w:cs="宋体"/>
                  <w:color w:val="0000FF"/>
                  <w:kern w:val="0"/>
                  <w:sz w:val="24"/>
                  <w:szCs w:val="24"/>
                  <w:u w:val="single"/>
                </w:rPr>
                <w:t>2016年国家留学基金资助出国留学人员选派简章</w:t>
              </w:r>
            </w:hyperlink>
            <w:r w:rsidRPr="00C22A29">
              <w:rPr>
                <w:rFonts w:ascii="宋体" w:eastAsia="宋体" w:hAnsi="宋体" w:cs="宋体"/>
                <w:kern w:val="0"/>
                <w:sz w:val="24"/>
                <w:szCs w:val="24"/>
              </w:rPr>
              <w:t>》规定的申请条件。</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第十条  具有中国国籍，热爱社会主义祖国,具有良好的政治素质，身心健康，无违法违纪记录，有学成回国为祖国建设服务的事业心和责任感。</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第十一条  具备扎实的专业基础，较强的学习、研究及工作能力和交流能力，综合素质良好，学习成绩优异或工作业绩突出，具有较强的发展潜力。</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第十二条  申请时年龄不超过45岁（1970年3月20日以后出生）。</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第十三条  申请时外语水平须符合以下条件之一：</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（一）外语专业本科（含）以上毕业（专业语种应与留学目的国使用语种一致）。</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（二）近十年内曾在同一语种国家留学</w:t>
            </w:r>
            <w:proofErr w:type="gramStart"/>
            <w:r w:rsidRPr="00C22A29">
              <w:rPr>
                <w:rFonts w:ascii="宋体" w:eastAsia="宋体" w:hAnsi="宋体" w:cs="宋体"/>
                <w:kern w:val="0"/>
                <w:sz w:val="24"/>
                <w:szCs w:val="24"/>
              </w:rPr>
              <w:t>一</w:t>
            </w:r>
            <w:proofErr w:type="gramEnd"/>
            <w:r w:rsidRPr="00C22A29">
              <w:rPr>
                <w:rFonts w:ascii="宋体" w:eastAsia="宋体" w:hAnsi="宋体" w:cs="宋体"/>
                <w:kern w:val="0"/>
                <w:sz w:val="24"/>
                <w:szCs w:val="24"/>
              </w:rPr>
              <w:t>学年（8-12个月）或连续工作一年（含）以上。</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（三）参加“全国外语水平考试”（WSK）并达到合格标准。</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（四）曾在教育部指定出国留学培训部参加相关语种培训并获得结业证书（英语为高级班，其他语种为中级班）。</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（五）参加雅思（学术类）、托福、德、法、意、西、日、韩语水平考试，成绩达到以下标准：</w:t>
            </w:r>
            <w:proofErr w:type="gramStart"/>
            <w:r w:rsidRPr="00C22A29">
              <w:rPr>
                <w:rFonts w:ascii="宋体" w:eastAsia="宋体" w:hAnsi="宋体" w:cs="宋体"/>
                <w:kern w:val="0"/>
                <w:sz w:val="24"/>
                <w:szCs w:val="24"/>
              </w:rPr>
              <w:t>雅思</w:t>
            </w:r>
            <w:proofErr w:type="gramEnd"/>
            <w:r w:rsidRPr="00C22A29">
              <w:rPr>
                <w:rFonts w:ascii="宋体" w:eastAsia="宋体" w:hAnsi="宋体" w:cs="宋体"/>
                <w:kern w:val="0"/>
                <w:sz w:val="24"/>
                <w:szCs w:val="24"/>
              </w:rPr>
              <w:t>6.5分，托福95分，德、法、意、西语达到欧洲统一语言参考框架（CECRL）的B2级，日语达到二级（N2），韩语达到TOPIK4级。</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（六）通过</w:t>
            </w:r>
            <w:proofErr w:type="gramStart"/>
            <w:r w:rsidRPr="00C22A29">
              <w:rPr>
                <w:rFonts w:ascii="宋体" w:eastAsia="宋体" w:hAnsi="宋体" w:cs="宋体"/>
                <w:kern w:val="0"/>
                <w:sz w:val="24"/>
                <w:szCs w:val="24"/>
              </w:rPr>
              <w:t>国外拟</w:t>
            </w:r>
            <w:proofErr w:type="gramEnd"/>
            <w:r w:rsidRPr="00C22A29">
              <w:rPr>
                <w:rFonts w:ascii="宋体" w:eastAsia="宋体" w:hAnsi="宋体" w:cs="宋体"/>
                <w:kern w:val="0"/>
                <w:sz w:val="24"/>
                <w:szCs w:val="24"/>
              </w:rPr>
              <w:t>留学单位组织的面试、考试等方式达到其语言要求（应在外方邀请信中注明或单独出具证明）。</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第十四条  攻读硕士学位研究生申请时应已获拟留学单位出具的入学通知书或邀请信。</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联合培养硕士研究生申请时应已获拟留学单位出具的正式邀请信，并有中外双方确定的学习计划。</w:t>
            </w:r>
          </w:p>
          <w:p w:rsidR="00C22A29" w:rsidRPr="00C22A29" w:rsidRDefault="00C22A29" w:rsidP="00C22A29">
            <w:pPr>
              <w:widowControl/>
              <w:spacing w:before="100" w:beforeAutospacing="1" w:after="100" w:afterAutospacing="1"/>
              <w:jc w:val="center"/>
              <w:rPr>
                <w:rFonts w:ascii="宋体" w:eastAsia="宋体" w:hAnsi="宋体" w:cs="宋体"/>
                <w:kern w:val="0"/>
                <w:sz w:val="24"/>
                <w:szCs w:val="24"/>
              </w:rPr>
            </w:pPr>
            <w:r w:rsidRPr="00C22A29">
              <w:rPr>
                <w:rFonts w:ascii="宋体" w:eastAsia="宋体" w:hAnsi="宋体" w:cs="宋体"/>
                <w:b/>
                <w:bCs/>
                <w:kern w:val="0"/>
                <w:sz w:val="24"/>
                <w:szCs w:val="24"/>
              </w:rPr>
              <w:t>第四章  选拔办法</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第十五条  遵循“公开、公平、公正”的原则，采取“个人申请，单位推荐，专家评审，择优录取”的方式进行选拔。</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第十六条  2016年的网上报名及申请受理时间为3月20日-4月5日。申</w:t>
            </w:r>
            <w:r w:rsidRPr="00C22A29">
              <w:rPr>
                <w:rFonts w:ascii="宋体" w:eastAsia="宋体" w:hAnsi="宋体" w:cs="宋体"/>
                <w:kern w:val="0"/>
                <w:sz w:val="24"/>
                <w:szCs w:val="24"/>
              </w:rPr>
              <w:lastRenderedPageBreak/>
              <w:t>请人应在此期限内登录国家公派留学管理信息平台（http://apply.csc.edu.cn）进行网上报名、按照《2016年国家公派硕士研究生项目申请材料及说明》准备申请材料并提交所在单位审核。</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第十七条  推选单位应对申请人的资格、综合素质、发展潜力、实践能力、出国留学必要性、学习计划或课程安排的可行性、品德修养及身心健康情况等方面进行审核（评审）后出具有针对性的单位推荐意见。推选单位在对申请材料进行认真审核后,将申请材料统一提交至相关受理单位或国家留学基金委。</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第十八条  国家留学基金委委托以下单位（以下简称受理单位）负责申请受理工作：“211工程”建设高校负责受理本校人员（学生及在职人员）的申请；其他人员的申请由有关国家留学基金</w:t>
            </w:r>
            <w:hyperlink r:id="rId6" w:history="1">
              <w:r w:rsidRPr="00C22A29">
                <w:rPr>
                  <w:rFonts w:ascii="宋体" w:eastAsia="宋体" w:hAnsi="宋体" w:cs="宋体"/>
                  <w:color w:val="0000FF"/>
                  <w:kern w:val="0"/>
                  <w:sz w:val="24"/>
                  <w:szCs w:val="24"/>
                  <w:u w:val="single"/>
                </w:rPr>
                <w:t>申请受理机构</w:t>
              </w:r>
            </w:hyperlink>
            <w:r w:rsidRPr="00C22A29">
              <w:rPr>
                <w:rFonts w:ascii="宋体" w:eastAsia="宋体" w:hAnsi="宋体" w:cs="宋体"/>
                <w:kern w:val="0"/>
                <w:sz w:val="24"/>
                <w:szCs w:val="24"/>
              </w:rPr>
              <w:t>负责受理。国家留学基金委不直接受理个人申请。</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第十九条  受理单位应在4月12日前将书面公函及推荐人选名单提交至国家留学基金委，并通过信息平台提交申请人的电子材料。申请人书面材料由受理单位留存,留存期限为3年。</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第二十条  国家留学基金委负责组织评审及录取工作。对申请学费资助人员将另行组织专家面试。</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第二十一条  录取结果于2016年5月公布。申请人可登录国家公派留学管理信息平台（http://apply.csc.edu.cn）查询录取结果。录取通知将发放至受理单位。</w:t>
            </w:r>
          </w:p>
          <w:p w:rsidR="00C22A29" w:rsidRPr="00C22A29" w:rsidRDefault="00C22A29" w:rsidP="00C22A29">
            <w:pPr>
              <w:widowControl/>
              <w:spacing w:before="100" w:beforeAutospacing="1" w:after="100" w:afterAutospacing="1"/>
              <w:jc w:val="center"/>
              <w:rPr>
                <w:rFonts w:ascii="宋体" w:eastAsia="宋体" w:hAnsi="宋体" w:cs="宋体"/>
                <w:kern w:val="0"/>
                <w:sz w:val="24"/>
                <w:szCs w:val="24"/>
              </w:rPr>
            </w:pPr>
            <w:r w:rsidRPr="00C22A29">
              <w:rPr>
                <w:rFonts w:ascii="宋体" w:eastAsia="宋体" w:hAnsi="宋体" w:cs="宋体"/>
                <w:b/>
                <w:bCs/>
                <w:kern w:val="0"/>
                <w:sz w:val="24"/>
                <w:szCs w:val="24"/>
              </w:rPr>
              <w:t>第五章  派出与管理</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第二十二条  被录取人员的留学资格有效期至2017年3月31日。凡未按期派出者，其留学资格将自动取消。</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第二十三条  对留学人员的管理实行“签约派出、违约赔偿”的办 法。派出前，留学人员须持《资助出国留学协议书》赴公证处办理签约公证手续，按要求开具《同意办理派出手续的函》、交存保证金，办理护照、签证、《国际旅 行健康证书》，通过教育部留学服务中心、教育部出国人员上海集训部、广州留学人员服务管理中心办理预订机票、预领奖学金手续（具体请查阅《</w:t>
            </w:r>
            <w:hyperlink r:id="rId7" w:history="1">
              <w:r w:rsidRPr="00C22A29">
                <w:rPr>
                  <w:rFonts w:ascii="宋体" w:eastAsia="宋体" w:hAnsi="宋体" w:cs="宋体"/>
                  <w:color w:val="0000FF"/>
                  <w:kern w:val="0"/>
                  <w:sz w:val="24"/>
                  <w:szCs w:val="24"/>
                  <w:u w:val="single"/>
                </w:rPr>
                <w:t>出国留学人员须知</w:t>
              </w:r>
            </w:hyperlink>
            <w:r w:rsidRPr="00C22A29">
              <w:rPr>
                <w:rFonts w:ascii="宋体" w:eastAsia="宋体" w:hAnsi="宋体" w:cs="宋体"/>
                <w:kern w:val="0"/>
                <w:sz w:val="24"/>
                <w:szCs w:val="24"/>
              </w:rPr>
              <w:t>》）。</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第二十四条  留学人员派出前，推选单位应对其进行行前教育，对国外学习计划提出明确要求，并指导、协助其办理出国手续；同时，加强心理、精神和道德与诚信等方面的指导。</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推选单位应合理安排留学人员工作/学业，保证按期派出，并于12月底前将本年度录取未派出人员名单及原因提交至国家留学基金委。</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lastRenderedPageBreak/>
              <w:t>留学人员派出后，应加强对其指导和检查，保持定期联系，协助国家留学基金委和驻外使（领）</w:t>
            </w:r>
            <w:proofErr w:type="gramStart"/>
            <w:r w:rsidRPr="00C22A29">
              <w:rPr>
                <w:rFonts w:ascii="宋体" w:eastAsia="宋体" w:hAnsi="宋体" w:cs="宋体"/>
                <w:kern w:val="0"/>
                <w:sz w:val="24"/>
                <w:szCs w:val="24"/>
              </w:rPr>
              <w:t>馆做好</w:t>
            </w:r>
            <w:proofErr w:type="gramEnd"/>
            <w:r w:rsidRPr="00C22A29">
              <w:rPr>
                <w:rFonts w:ascii="宋体" w:eastAsia="宋体" w:hAnsi="宋体" w:cs="宋体"/>
                <w:kern w:val="0"/>
                <w:sz w:val="24"/>
                <w:szCs w:val="24"/>
              </w:rPr>
              <w:t>在外管理和按期回国学习/工作。</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第二十五条  按照《资助出国留学协议书》规定，留学人员自抵达留学所在国后十日内凭《国家留学基金资助出国留学资格证书》、《国家公派留学人员报到证明》向中国</w:t>
            </w:r>
            <w:proofErr w:type="gramStart"/>
            <w:r w:rsidRPr="00C22A29">
              <w:rPr>
                <w:rFonts w:ascii="宋体" w:eastAsia="宋体" w:hAnsi="宋体" w:cs="宋体"/>
                <w:kern w:val="0"/>
                <w:sz w:val="24"/>
                <w:szCs w:val="24"/>
              </w:rPr>
              <w:t>驻留学所在</w:t>
            </w:r>
            <w:proofErr w:type="gramEnd"/>
            <w:r w:rsidRPr="00C22A29">
              <w:rPr>
                <w:rFonts w:ascii="宋体" w:eastAsia="宋体" w:hAnsi="宋体" w:cs="宋体"/>
                <w:kern w:val="0"/>
                <w:sz w:val="24"/>
                <w:szCs w:val="24"/>
              </w:rPr>
              <w:t>国使（领）</w:t>
            </w:r>
            <w:proofErr w:type="gramStart"/>
            <w:r w:rsidRPr="00C22A29">
              <w:rPr>
                <w:rFonts w:ascii="宋体" w:eastAsia="宋体" w:hAnsi="宋体" w:cs="宋体"/>
                <w:kern w:val="0"/>
                <w:sz w:val="24"/>
                <w:szCs w:val="24"/>
              </w:rPr>
              <w:t>馆办理</w:t>
            </w:r>
            <w:proofErr w:type="gramEnd"/>
            <w:r w:rsidRPr="00C22A29">
              <w:rPr>
                <w:rFonts w:ascii="宋体" w:eastAsia="宋体" w:hAnsi="宋体" w:cs="宋体"/>
                <w:kern w:val="0"/>
                <w:sz w:val="24"/>
                <w:szCs w:val="24"/>
              </w:rPr>
              <w:t>报到手续后方可享受国家留学基金资助。</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第二十六条  留学人员在国外留学期间，应遵守所在国法律法规、国家留学基金资助出国留学人员的有关规定及《资助出国留学协议书》的有关约定，自觉接受推选单位和驻外使（领）馆的管理，学成后应履行回国服务义务。</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第二十七条  尚未完成回国服务义务的本项目留学人员再次出国留学攻读博士学位者，应向国家留学基金委备案，回国服务期顺延；再次申请国家公派出国攻读博士学位或进行联合培养时，亦不受回国后满五年方可再次申请国家公派出国留学的限制。</w:t>
            </w:r>
          </w:p>
          <w:p w:rsidR="00C22A29" w:rsidRPr="00C22A29" w:rsidRDefault="00C22A29" w:rsidP="00C22A29">
            <w:pPr>
              <w:widowControl/>
              <w:spacing w:before="100" w:beforeAutospacing="1" w:after="100" w:afterAutospacing="1"/>
              <w:jc w:val="left"/>
              <w:rPr>
                <w:rFonts w:ascii="宋体" w:eastAsia="宋体" w:hAnsi="宋体" w:cs="宋体"/>
                <w:kern w:val="0"/>
                <w:sz w:val="24"/>
                <w:szCs w:val="24"/>
              </w:rPr>
            </w:pPr>
            <w:r w:rsidRPr="00C22A29">
              <w:rPr>
                <w:rFonts w:ascii="宋体" w:eastAsia="宋体" w:hAnsi="宋体" w:cs="宋体"/>
                <w:kern w:val="0"/>
                <w:sz w:val="24"/>
                <w:szCs w:val="24"/>
              </w:rPr>
              <w:t>第二十八条  留学人员与获得资助有关的论文、研究项目或科研成果在成文、发表、公开时，应注明 “本研究/成果/论文得到国家留学基金资助”。</w:t>
            </w:r>
          </w:p>
        </w:tc>
      </w:tr>
    </w:tbl>
    <w:p w:rsidR="003D0330" w:rsidRPr="00C22A29" w:rsidRDefault="003D0330">
      <w:bookmarkStart w:id="0" w:name="_GoBack"/>
      <w:bookmarkEnd w:id="0"/>
    </w:p>
    <w:sectPr w:rsidR="003D0330" w:rsidRPr="00C22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29"/>
    <w:rsid w:val="003D0330"/>
    <w:rsid w:val="007749D6"/>
    <w:rsid w:val="00C22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A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22A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A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22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edu.cn/Chuguo/38ab80bc76be40fa8ffe4c661ce28e98.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c.edu.cn/Chuguo/2255d0fd0e2d483a954817c89b19061a.shtml" TargetMode="External"/><Relationship Id="rId5" Type="http://schemas.openxmlformats.org/officeDocument/2006/relationships/hyperlink" Target="http://www.csc.edu.cn/Chuguo/87a7f72abd1e4dffb3b9ddcea536ff87.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2717</Characters>
  <Application>Microsoft Office Word</Application>
  <DocSecurity>0</DocSecurity>
  <Lines>22</Lines>
  <Paragraphs>6</Paragraphs>
  <ScaleCrop>false</ScaleCrop>
  <Company>Shisu</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蒋昕宇</dc:creator>
  <cp:keywords/>
  <dc:description/>
  <cp:lastModifiedBy>蒋昕宇</cp:lastModifiedBy>
  <cp:revision>1</cp:revision>
  <dcterms:created xsi:type="dcterms:W3CDTF">2015-12-11T01:42:00Z</dcterms:created>
  <dcterms:modified xsi:type="dcterms:W3CDTF">2015-12-11T01:43:00Z</dcterms:modified>
</cp:coreProperties>
</file>